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BEA" w:rsidRDefault="00B00BEA" w:rsidP="00871CB3">
      <w:pPr>
        <w:spacing w:line="480" w:lineRule="auto"/>
        <w:jc w:val="center"/>
      </w:pPr>
    </w:p>
    <w:p w:rsidR="00B00BEA" w:rsidRDefault="00B00BEA" w:rsidP="00871CB3">
      <w:pPr>
        <w:spacing w:line="480" w:lineRule="auto"/>
        <w:jc w:val="center"/>
      </w:pPr>
    </w:p>
    <w:p w:rsidR="00B00BEA" w:rsidRDefault="00B00BEA" w:rsidP="00871CB3">
      <w:pPr>
        <w:spacing w:line="480" w:lineRule="auto"/>
        <w:jc w:val="center"/>
      </w:pPr>
    </w:p>
    <w:p w:rsidR="00B00BEA" w:rsidRDefault="00B00BEA" w:rsidP="00871CB3">
      <w:pPr>
        <w:spacing w:line="480" w:lineRule="auto"/>
        <w:jc w:val="center"/>
      </w:pPr>
    </w:p>
    <w:p w:rsidR="00B00BEA" w:rsidRDefault="00B00BEA" w:rsidP="00871CB3">
      <w:pPr>
        <w:spacing w:line="480" w:lineRule="auto"/>
        <w:jc w:val="center"/>
      </w:pPr>
    </w:p>
    <w:p w:rsidR="00B00BEA" w:rsidRDefault="00B00BEA" w:rsidP="00871CB3">
      <w:pPr>
        <w:spacing w:line="480" w:lineRule="auto"/>
        <w:jc w:val="center"/>
      </w:pPr>
    </w:p>
    <w:p w:rsidR="00B00BEA" w:rsidRPr="00B00BEA" w:rsidRDefault="00B00BEA" w:rsidP="00B00BEA">
      <w:pPr>
        <w:spacing w:line="480" w:lineRule="auto"/>
        <w:jc w:val="center"/>
        <w:rPr>
          <w:b/>
        </w:rPr>
      </w:pPr>
      <w:r w:rsidRPr="00B00BEA">
        <w:rPr>
          <w:b/>
        </w:rPr>
        <w:t>Psychological Experiments</w:t>
      </w:r>
    </w:p>
    <w:p w:rsidR="00B00BEA" w:rsidRDefault="00B00BEA" w:rsidP="00B00BEA">
      <w:pPr>
        <w:spacing w:line="480" w:lineRule="auto"/>
        <w:jc w:val="center"/>
      </w:pPr>
      <w:r>
        <w:t>Name</w:t>
      </w:r>
    </w:p>
    <w:p w:rsidR="00B00BEA" w:rsidRDefault="00B00BEA" w:rsidP="00B00BEA">
      <w:pPr>
        <w:spacing w:line="480" w:lineRule="auto"/>
        <w:jc w:val="center"/>
      </w:pPr>
      <w:r>
        <w:t>Institution</w:t>
      </w:r>
    </w:p>
    <w:p w:rsidR="00B00BEA" w:rsidRDefault="00B00BEA" w:rsidP="00B00BEA">
      <w:pPr>
        <w:spacing w:line="480" w:lineRule="auto"/>
        <w:jc w:val="center"/>
      </w:pPr>
      <w:r>
        <w:t>Date</w:t>
      </w:r>
    </w:p>
    <w:p w:rsidR="00B00BEA" w:rsidRDefault="00B00BEA" w:rsidP="00B00BEA">
      <w:pPr>
        <w:spacing w:line="480" w:lineRule="auto"/>
        <w:jc w:val="center"/>
      </w:pPr>
    </w:p>
    <w:p w:rsidR="00B00BEA" w:rsidRDefault="00B00BEA" w:rsidP="00B00BEA">
      <w:pPr>
        <w:spacing w:line="480" w:lineRule="auto"/>
        <w:jc w:val="center"/>
      </w:pPr>
    </w:p>
    <w:p w:rsidR="00B00BEA" w:rsidRDefault="00B00BEA" w:rsidP="00B00BEA">
      <w:pPr>
        <w:spacing w:line="480" w:lineRule="auto"/>
        <w:jc w:val="center"/>
      </w:pPr>
    </w:p>
    <w:p w:rsidR="00B00BEA" w:rsidRDefault="00B00BEA" w:rsidP="00B00BEA">
      <w:pPr>
        <w:spacing w:line="480" w:lineRule="auto"/>
        <w:jc w:val="center"/>
      </w:pPr>
    </w:p>
    <w:p w:rsidR="00B00BEA" w:rsidRDefault="00B00BEA" w:rsidP="00B00BEA">
      <w:pPr>
        <w:spacing w:line="480" w:lineRule="auto"/>
        <w:jc w:val="center"/>
      </w:pPr>
    </w:p>
    <w:p w:rsidR="00B00BEA" w:rsidRDefault="00B00BEA" w:rsidP="00B00BEA">
      <w:pPr>
        <w:spacing w:line="480" w:lineRule="auto"/>
        <w:jc w:val="center"/>
      </w:pPr>
    </w:p>
    <w:p w:rsidR="00B00BEA" w:rsidRDefault="00B00BEA" w:rsidP="00B00BEA">
      <w:pPr>
        <w:spacing w:line="480" w:lineRule="auto"/>
        <w:jc w:val="center"/>
      </w:pPr>
    </w:p>
    <w:p w:rsidR="002D755B" w:rsidRPr="00B00BEA" w:rsidRDefault="002D755B" w:rsidP="00B00BEA">
      <w:pPr>
        <w:spacing w:line="480" w:lineRule="auto"/>
        <w:jc w:val="center"/>
        <w:rPr>
          <w:b/>
        </w:rPr>
      </w:pPr>
      <w:r w:rsidRPr="00B00BEA">
        <w:rPr>
          <w:b/>
        </w:rPr>
        <w:lastRenderedPageBreak/>
        <w:t>Psychological Experiments</w:t>
      </w:r>
    </w:p>
    <w:p w:rsidR="002D755B" w:rsidRDefault="00871CB3" w:rsidP="00871CB3">
      <w:pPr>
        <w:spacing w:line="480" w:lineRule="auto"/>
        <w:jc w:val="center"/>
      </w:pPr>
      <w:r>
        <w:t>Bobo D</w:t>
      </w:r>
      <w:r w:rsidR="002D755B">
        <w:t>oll Experiment</w:t>
      </w:r>
    </w:p>
    <w:p w:rsidR="002D755B" w:rsidRDefault="002D755B" w:rsidP="00871CB3">
      <w:pPr>
        <w:spacing w:line="480" w:lineRule="auto"/>
        <w:ind w:firstLine="720"/>
      </w:pPr>
      <w:r>
        <w:t>Bobo doll was an experiment conducted by psychologist Albert Bandura to investigate if social behaviors like aggression can be observed and imitated</w:t>
      </w:r>
      <w:r w:rsidR="00B66475">
        <w:t>. Bandura (2018)</w:t>
      </w:r>
      <w:r>
        <w:t xml:space="preserve"> took up 36 girls and 36 boys from Stanford University nursery school to use them in the study. The children were aged between 3 to 6 years. The children were pretested before the study and rated on a scale of 1-5. The lab experiment used manipulated the independent variable into three conditions. The aggressive model was shown to 24 children, the nonaggressive to 24 others, and the remaining 24 were the control condition, so they were not offered any model</w:t>
      </w:r>
      <w:r w:rsidR="00B66475">
        <w:t xml:space="preserve"> (</w:t>
      </w:r>
      <w:r w:rsidR="00B66475" w:rsidRPr="00B66475">
        <w:rPr>
          <w:color w:val="222222"/>
          <w:shd w:val="clear" w:color="auto" w:fill="FFFFFF"/>
        </w:rPr>
        <w:t>Bandura,</w:t>
      </w:r>
      <w:r w:rsidR="00B66475">
        <w:rPr>
          <w:color w:val="222222"/>
          <w:shd w:val="clear" w:color="auto" w:fill="FFFFFF"/>
        </w:rPr>
        <w:t xml:space="preserve"> 2018)</w:t>
      </w:r>
      <w:r>
        <w:t xml:space="preserve">. The groups were then divided by gender into several subgroups. These divisions were meant to show the observers different responses when the children were exposed to different situations. The gender division would show the opposite sex behavior model. </w:t>
      </w:r>
    </w:p>
    <w:p w:rsidR="002D755B" w:rsidRDefault="002D755B" w:rsidP="00871CB3">
      <w:pPr>
        <w:spacing w:line="480" w:lineRule="auto"/>
        <w:ind w:firstLine="720"/>
      </w:pPr>
      <w:r>
        <w:t>In the first stage, the children were sat individually at a table in the corner of the room and were given distracting activities such as prints, stickers, and pictures to discourage them from participating and encourage observation</w:t>
      </w:r>
      <w:r w:rsidR="00B66475">
        <w:t xml:space="preserve"> (</w:t>
      </w:r>
      <w:r w:rsidR="00B66475" w:rsidRPr="00B66475">
        <w:rPr>
          <w:color w:val="222222"/>
          <w:shd w:val="clear" w:color="auto" w:fill="FFFFFF"/>
        </w:rPr>
        <w:t>Bandura,</w:t>
      </w:r>
      <w:r w:rsidR="00B66475">
        <w:rPr>
          <w:color w:val="222222"/>
          <w:shd w:val="clear" w:color="auto" w:fill="FFFFFF"/>
        </w:rPr>
        <w:t xml:space="preserve"> 2018)</w:t>
      </w:r>
      <w:r>
        <w:t xml:space="preserve">. The behavior model with a chair, table, 5 foot Bobo doll, and a Tinkertoy was set on the room's opposite side. In the aggression behavior model, aggressive and nonaggressive statements were used. In the nonaggressive model, the Bobo doll was ignored for 20 minutes. </w:t>
      </w:r>
    </w:p>
    <w:p w:rsidR="002D755B" w:rsidRDefault="002D755B" w:rsidP="00871CB3">
      <w:pPr>
        <w:spacing w:line="480" w:lineRule="auto"/>
        <w:ind w:firstLine="720"/>
      </w:pPr>
      <w:r>
        <w:t>In the second phase, the children were taken into different rooms and were presented with new appealing toys. This phase tested the hypothesis that observation of social behaviors such as aggression in others can increase the observer's aggression</w:t>
      </w:r>
      <w:r w:rsidR="00B66475">
        <w:t xml:space="preserve"> (</w:t>
      </w:r>
      <w:r w:rsidR="00B66475" w:rsidRPr="00B66475">
        <w:rPr>
          <w:color w:val="222222"/>
          <w:shd w:val="clear" w:color="auto" w:fill="FFFFFF"/>
        </w:rPr>
        <w:t>Bandura,</w:t>
      </w:r>
      <w:r w:rsidR="00B66475">
        <w:rPr>
          <w:color w:val="222222"/>
          <w:shd w:val="clear" w:color="auto" w:fill="FFFFFF"/>
        </w:rPr>
        <w:t xml:space="preserve"> 2018)</w:t>
      </w:r>
      <w:r>
        <w:t xml:space="preserve">. The children's aggression was triggered by being told they cannot play with the appealing toys after a few </w:t>
      </w:r>
      <w:r>
        <w:lastRenderedPageBreak/>
        <w:t xml:space="preserve">minutes. They were told they could play in another room, where they were presented with toys that could be aggressive and some that were nonaggressive. </w:t>
      </w:r>
    </w:p>
    <w:p w:rsidR="002D755B" w:rsidRDefault="002D755B" w:rsidP="00871CB3">
      <w:pPr>
        <w:spacing w:line="480" w:lineRule="auto"/>
        <w:ind w:firstLine="720"/>
      </w:pPr>
      <w:r>
        <w:t>In the final phase, the children's behavior was observed and rated depending on their physical and verbal abuse to the situations they were in. children in aggressive behavior portrayed a high degree of aggression compared to those in a nonaggressive model. Children exposed to aggression modeled the adults' behavior by attacking the dolls the same way adults had</w:t>
      </w:r>
      <w:r w:rsidR="00B66475">
        <w:t xml:space="preserve"> (</w:t>
      </w:r>
      <w:r w:rsidR="00B66475" w:rsidRPr="00B66475">
        <w:rPr>
          <w:color w:val="222222"/>
          <w:shd w:val="clear" w:color="auto" w:fill="FFFFFF"/>
        </w:rPr>
        <w:t>Bandura,</w:t>
      </w:r>
      <w:r w:rsidR="00B66475">
        <w:rPr>
          <w:color w:val="222222"/>
          <w:shd w:val="clear" w:color="auto" w:fill="FFFFFF"/>
        </w:rPr>
        <w:t xml:space="preserve"> 2018)</w:t>
      </w:r>
      <w:r>
        <w:t xml:space="preserve">. As for genders, boys were more prone to imitate physical aggression, which is a highly masculine-types behavior. Male subjects reproduced more physical aggression than girls. Both genders were more imitative of male behavior. In terms of verbal aggression, both genders were imitative of same-sex models. The experiment demonstrated that social behavior could be observed and imitated. Bandura's experiment made a huge contribution to cognitive behavioral therapy. It showed that the behaviorist view of rewards and punishments was just one way of learning since children could learn through observation. </w:t>
      </w:r>
    </w:p>
    <w:p w:rsidR="002D755B" w:rsidRDefault="002D755B" w:rsidP="00871CB3">
      <w:pPr>
        <w:spacing w:line="480" w:lineRule="auto"/>
        <w:jc w:val="center"/>
      </w:pPr>
      <w:r>
        <w:t>Milligram's Experiment on Obedience</w:t>
      </w:r>
    </w:p>
    <w:p w:rsidR="002D755B" w:rsidRDefault="002D755B" w:rsidP="00871CB3">
      <w:pPr>
        <w:spacing w:line="480" w:lineRule="auto"/>
        <w:ind w:firstLine="720"/>
      </w:pPr>
      <w:r>
        <w:t>Milgram experimented to determine if Germany's soldiers could be blamed for the Holocaust since they were following orders. Milgram gathered 'learners' and 'teachers.' The draw was fixed, and the participant was always the teacher. The learner was Milgram's confederate, who pretended to be a real participant. The learner was always in a room with an electric shock generator and a row of switches that increased volts from 15 volts rated as a slight shock, 375 as danger, and 450 volts as severe shock</w:t>
      </w:r>
      <w:r w:rsidR="00AD3083">
        <w:t xml:space="preserve"> </w:t>
      </w:r>
      <w:r w:rsidR="00AD3083">
        <w:t>(</w:t>
      </w:r>
      <w:r w:rsidR="00AD3083" w:rsidRPr="00B66475">
        <w:rPr>
          <w:color w:val="222222"/>
          <w:shd w:val="clear" w:color="auto" w:fill="FFFFFF"/>
        </w:rPr>
        <w:t>Nicholson</w:t>
      </w:r>
      <w:r w:rsidR="00AD3083">
        <w:rPr>
          <w:color w:val="222222"/>
          <w:shd w:val="clear" w:color="auto" w:fill="FFFFFF"/>
        </w:rPr>
        <w:t>, 2018)</w:t>
      </w:r>
      <w:r>
        <w:t xml:space="preserve">. Milgram's main aim was to determine how far people could obey if the instruction involved harming others. The learner was strapped in a chair with electrodes. The teacher was to test the learner by naming a word and asking the </w:t>
      </w:r>
      <w:r>
        <w:lastRenderedPageBreak/>
        <w:t>learner to recall its partner from four possible options. The teacher was to administer shock each time the student failed. The experimenter, Mr. Williams, had prods, and he would proceed to the next prod if the teacher did not obey</w:t>
      </w:r>
      <w:r w:rsidR="00AD3083">
        <w:t xml:space="preserve"> (</w:t>
      </w:r>
      <w:r w:rsidR="00AD3083" w:rsidRPr="00B66475">
        <w:rPr>
          <w:color w:val="222222"/>
          <w:shd w:val="clear" w:color="auto" w:fill="FFFFFF"/>
        </w:rPr>
        <w:t>Nicholson</w:t>
      </w:r>
      <w:r w:rsidR="00AD3083">
        <w:rPr>
          <w:color w:val="222222"/>
          <w:shd w:val="clear" w:color="auto" w:fill="FFFFFF"/>
        </w:rPr>
        <w:t>, 2018)</w:t>
      </w:r>
      <w:r>
        <w:t xml:space="preserve">. Two-thirds of the participants went to the highest level. All the participants reached 300 volts. Milgram concluded that human beings are likely to kill fellow humans, even innocents, when instructed by an authority figure. The experimenter played the role of the authority figure. Milgram's experiments explain why war criminals go to such lengths while following orders. If mere teachers could hurt learners in a controlled experiment, war comes with bigger consequences and a lot is at stake, so most people prefer following orders instead of making decisions. </w:t>
      </w:r>
    </w:p>
    <w:p w:rsidR="002D755B" w:rsidRDefault="002D755B" w:rsidP="00871CB3">
      <w:pPr>
        <w:spacing w:line="480" w:lineRule="auto"/>
        <w:jc w:val="center"/>
      </w:pPr>
      <w:r>
        <w:t>Burger's Partial Replication</w:t>
      </w:r>
    </w:p>
    <w:p w:rsidR="002D755B" w:rsidRDefault="002D755B" w:rsidP="00871CB3">
      <w:pPr>
        <w:spacing w:line="480" w:lineRule="auto"/>
        <w:ind w:firstLine="720"/>
      </w:pPr>
      <w:r>
        <w:t>Jerry M Burger replicated Milgram's work because he felt like with more social awareness, people would not follow authority figures blindly. However, he found the same situational factors that affected obedience in Milgram's study still operate today. Milgram found out that 79% of the participants continued to the generat</w:t>
      </w:r>
      <w:r w:rsidR="00AD3083">
        <w:t>or's end, 450 volts. In the</w:t>
      </w:r>
      <w:r>
        <w:t xml:space="preserve"> replication, 70% of the participants had to be stopped at passing 150 volts</w:t>
      </w:r>
      <w:r w:rsidR="00AD3083">
        <w:t xml:space="preserve"> (</w:t>
      </w:r>
      <w:r w:rsidR="00AD3083" w:rsidRPr="00B66475">
        <w:rPr>
          <w:color w:val="222222"/>
          <w:shd w:val="clear" w:color="auto" w:fill="FFFFFF"/>
        </w:rPr>
        <w:t>Burger,</w:t>
      </w:r>
      <w:r w:rsidR="00AD3083">
        <w:rPr>
          <w:color w:val="222222"/>
          <w:shd w:val="clear" w:color="auto" w:fill="FFFFFF"/>
        </w:rPr>
        <w:t xml:space="preserve"> 2017)</w:t>
      </w:r>
      <w:r>
        <w:t xml:space="preserve">. 150-volt juncture showed the same result in response on the learner's part, so if the participant did not stop, he would continue till the end of the experiment. </w:t>
      </w:r>
    </w:p>
    <w:p w:rsidR="002D755B" w:rsidRDefault="002D755B" w:rsidP="00871CB3">
      <w:pPr>
        <w:spacing w:line="480" w:lineRule="auto"/>
        <w:ind w:firstLine="720"/>
      </w:pPr>
      <w:r>
        <w:t xml:space="preserve">Unlike Milgram's study, ethically, Burger could not continue to 450 volt juncture. Even after following the ethical considerations and more social awareness about genocide and the Holocaust, participants still followed harming orders. Unlike Milgram, Burger paid attention to 150, where most participants paused and indicated a reluctance to continue. He also selected </w:t>
      </w:r>
      <w:r>
        <w:lastRenderedPageBreak/>
        <w:t xml:space="preserve">people who had taken at least two psychology courses in college and were familiar with Milgram's study. </w:t>
      </w:r>
    </w:p>
    <w:p w:rsidR="002D755B" w:rsidRDefault="002D755B" w:rsidP="00871CB3">
      <w:pPr>
        <w:spacing w:line="480" w:lineRule="auto"/>
        <w:jc w:val="center"/>
      </w:pPr>
      <w:r>
        <w:t>Peer pressure</w:t>
      </w:r>
    </w:p>
    <w:p w:rsidR="002D755B" w:rsidRDefault="002D755B" w:rsidP="00871CB3">
      <w:pPr>
        <w:spacing w:line="480" w:lineRule="auto"/>
        <w:ind w:firstLine="720"/>
      </w:pPr>
      <w:r>
        <w:t xml:space="preserve">I experience peer pressure all the time from my colleagues and fellow students. In most cases, I want to conform to what they are doing, even when it is affecting my personal schedule. I have had to reschedule a few things to accommodate my friends and their wants. At times they do the same for me. My opinion and theirs still matter, such that I would stop a behavior because they do not approve. While peer pressure can be a bad thing, at times peers help people to find who they are and what they truly enjoy. It becomes a problem when one person is letting insecurities about losing friends stop them from standing up for themselves. </w:t>
      </w:r>
    </w:p>
    <w:p w:rsidR="002D755B" w:rsidRDefault="002D755B" w:rsidP="00871CB3">
      <w:pPr>
        <w:spacing w:line="480" w:lineRule="auto"/>
        <w:ind w:firstLine="720"/>
      </w:pPr>
      <w:r>
        <w:t xml:space="preserve">Brett Laursen talks of two forms of peer pressure, intrinsic and extrinsic. The peer pressure makes people make choices depending on other people's opinions and the pressure that comes from within because of a positive or negative comment. Both girls and boys </w:t>
      </w:r>
      <w:r w:rsidR="00AC21CE">
        <w:t>go to great lengths to fit in, when they start caring about their friends opinions (</w:t>
      </w:r>
      <w:r w:rsidR="00AC21CE" w:rsidRPr="00B66475">
        <w:rPr>
          <w:color w:val="222222"/>
          <w:shd w:val="clear" w:color="auto" w:fill="FFFFFF"/>
        </w:rPr>
        <w:t>Laursen,</w:t>
      </w:r>
      <w:r w:rsidR="00AC21CE">
        <w:rPr>
          <w:color w:val="222222"/>
          <w:shd w:val="clear" w:color="auto" w:fill="FFFFFF"/>
        </w:rPr>
        <w:t xml:space="preserve"> 2017)</w:t>
      </w:r>
      <w:r w:rsidR="00AC21CE">
        <w:t>. P</w:t>
      </w:r>
      <w:r>
        <w:t xml:space="preserve">arents can help their children by showing them that attempts to change them are everywhere. The children are bound to handle peer pressure better if they know when it's happening. Having a good relationship with the parent can reduce the effect of peer pressure. </w:t>
      </w:r>
    </w:p>
    <w:p w:rsidR="00871CB3" w:rsidRDefault="002D755B" w:rsidP="00871CB3">
      <w:pPr>
        <w:spacing w:line="480" w:lineRule="auto"/>
        <w:jc w:val="center"/>
      </w:pPr>
      <w:r>
        <w:t>Principles of Persuasion</w:t>
      </w:r>
    </w:p>
    <w:p w:rsidR="000D5930" w:rsidRDefault="002D755B" w:rsidP="00871CB3">
      <w:pPr>
        <w:spacing w:line="480" w:lineRule="auto"/>
        <w:ind w:firstLine="720"/>
      </w:pPr>
      <w:r>
        <w:t xml:space="preserve">Robert </w:t>
      </w:r>
      <w:proofErr w:type="spellStart"/>
      <w:r>
        <w:t>Cialdini's</w:t>
      </w:r>
      <w:proofErr w:type="spellEnd"/>
      <w:r>
        <w:t xml:space="preserve"> six principles of persuasion include consensus, authority, reciprocity, scarcity, liking, and consistency. Reciprocity happens when people give back the kind of behavior they received first. If what is given is personalized and unexpected, what is given back </w:t>
      </w:r>
      <w:proofErr w:type="gramStart"/>
      <w:r>
        <w:t>increases.</w:t>
      </w:r>
      <w:proofErr w:type="gramEnd"/>
      <w:r>
        <w:t xml:space="preserve"> Scarcity works in that people want more than what they have. Uniqueness and what </w:t>
      </w:r>
      <w:r>
        <w:lastRenderedPageBreak/>
        <w:t>people stand to lose if they don't consider the proposal before them makes many choose the proposal</w:t>
      </w:r>
      <w:r w:rsidR="00014CBC">
        <w:t xml:space="preserve"> (</w:t>
      </w:r>
      <w:proofErr w:type="spellStart"/>
      <w:r w:rsidR="00014CBC" w:rsidRPr="00B66475">
        <w:rPr>
          <w:color w:val="222222"/>
          <w:shd w:val="clear" w:color="auto" w:fill="FFFFFF"/>
        </w:rPr>
        <w:t>Cialdini</w:t>
      </w:r>
      <w:proofErr w:type="spellEnd"/>
      <w:r w:rsidR="00014CBC">
        <w:rPr>
          <w:color w:val="222222"/>
          <w:shd w:val="clear" w:color="auto" w:fill="FFFFFF"/>
        </w:rPr>
        <w:t>,</w:t>
      </w:r>
      <w:r w:rsidR="00014CBC">
        <w:rPr>
          <w:color w:val="222222"/>
          <w:shd w:val="clear" w:color="auto" w:fill="FFFFFF"/>
        </w:rPr>
        <w:t xml:space="preserve"> 2007)</w:t>
      </w:r>
      <w:r>
        <w:t>. Authority works because people prefer credible and knowledgeable experts. Uniform and showing credibility increases trust and willingness to follow authority. Consistency is advocated for by many people because it shows commitment. The principle of liking works because people say yes to people they like. Similar goals and experiences increase the chances of being liked. The principle of consensus works where there's uncertainty. People look at other people's behavior to determine their own. If I were persuading people, I would use the principle of authority and liking. Identifying with people when you're an authority figure increases the probability of getting a yes.</w:t>
      </w: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B66475" w:rsidRDefault="00B66475" w:rsidP="00B66475">
      <w:pPr>
        <w:spacing w:line="480" w:lineRule="auto"/>
      </w:pPr>
    </w:p>
    <w:p w:rsidR="003211DD" w:rsidRDefault="003211DD" w:rsidP="00B66475">
      <w:pPr>
        <w:spacing w:line="480" w:lineRule="auto"/>
      </w:pPr>
    </w:p>
    <w:p w:rsidR="00B66475" w:rsidRPr="00B00BEA" w:rsidRDefault="00B66475" w:rsidP="00AC21CE">
      <w:pPr>
        <w:spacing w:line="480" w:lineRule="auto"/>
        <w:jc w:val="center"/>
        <w:rPr>
          <w:b/>
        </w:rPr>
      </w:pPr>
      <w:r w:rsidRPr="00B00BEA">
        <w:rPr>
          <w:b/>
        </w:rPr>
        <w:lastRenderedPageBreak/>
        <w:t>References</w:t>
      </w:r>
    </w:p>
    <w:p w:rsidR="00B66475" w:rsidRPr="00B66475" w:rsidRDefault="00B66475" w:rsidP="00B66475">
      <w:pPr>
        <w:spacing w:line="480" w:lineRule="auto"/>
        <w:ind w:left="720" w:hanging="720"/>
        <w:rPr>
          <w:color w:val="222222"/>
          <w:shd w:val="clear" w:color="auto" w:fill="FFFFFF"/>
        </w:rPr>
      </w:pPr>
      <w:r w:rsidRPr="00B66475">
        <w:rPr>
          <w:color w:val="222222"/>
          <w:shd w:val="clear" w:color="auto" w:fill="FFFFFF"/>
        </w:rPr>
        <w:t xml:space="preserve">Bandura, A. (2018). </w:t>
      </w:r>
      <w:proofErr w:type="gramStart"/>
      <w:r w:rsidRPr="00B66475">
        <w:rPr>
          <w:color w:val="222222"/>
          <w:shd w:val="clear" w:color="auto" w:fill="FFFFFF"/>
        </w:rPr>
        <w:t>Albert bandura and social learning theory.</w:t>
      </w:r>
      <w:proofErr w:type="gramEnd"/>
      <w:r w:rsidRPr="00B66475">
        <w:rPr>
          <w:color w:val="222222"/>
          <w:shd w:val="clear" w:color="auto" w:fill="FFFFFF"/>
        </w:rPr>
        <w:t> </w:t>
      </w:r>
      <w:r w:rsidRPr="00B66475">
        <w:rPr>
          <w:i/>
          <w:iCs/>
          <w:color w:val="222222"/>
          <w:shd w:val="clear" w:color="auto" w:fill="FFFFFF"/>
        </w:rPr>
        <w:t xml:space="preserve">Learning Theories </w:t>
      </w:r>
      <w:proofErr w:type="gramStart"/>
      <w:r w:rsidRPr="00B66475">
        <w:rPr>
          <w:i/>
          <w:iCs/>
          <w:color w:val="222222"/>
          <w:shd w:val="clear" w:color="auto" w:fill="FFFFFF"/>
        </w:rPr>
        <w:t>For</w:t>
      </w:r>
      <w:proofErr w:type="gramEnd"/>
      <w:r w:rsidRPr="00B66475">
        <w:rPr>
          <w:i/>
          <w:iCs/>
          <w:color w:val="222222"/>
          <w:shd w:val="clear" w:color="auto" w:fill="FFFFFF"/>
        </w:rPr>
        <w:t xml:space="preserve"> Early Years Practice</w:t>
      </w:r>
      <w:r w:rsidRPr="00B66475">
        <w:rPr>
          <w:color w:val="222222"/>
          <w:shd w:val="clear" w:color="auto" w:fill="FFFFFF"/>
        </w:rPr>
        <w:t>, </w:t>
      </w:r>
      <w:r w:rsidRPr="00B66475">
        <w:rPr>
          <w:i/>
          <w:iCs/>
          <w:color w:val="222222"/>
          <w:shd w:val="clear" w:color="auto" w:fill="FFFFFF"/>
        </w:rPr>
        <w:t>63</w:t>
      </w:r>
      <w:r w:rsidRPr="00B66475">
        <w:rPr>
          <w:color w:val="222222"/>
          <w:shd w:val="clear" w:color="auto" w:fill="FFFFFF"/>
        </w:rPr>
        <w:t>.</w:t>
      </w:r>
      <w:bookmarkStart w:id="0" w:name="_GoBack"/>
      <w:bookmarkEnd w:id="0"/>
    </w:p>
    <w:p w:rsidR="00B66475" w:rsidRPr="00B66475" w:rsidRDefault="00B66475" w:rsidP="00B66475">
      <w:pPr>
        <w:spacing w:line="480" w:lineRule="auto"/>
        <w:ind w:left="720" w:hanging="720"/>
      </w:pPr>
      <w:r w:rsidRPr="00B66475">
        <w:rPr>
          <w:color w:val="222222"/>
          <w:shd w:val="clear" w:color="auto" w:fill="FFFFFF"/>
        </w:rPr>
        <w:t>Burger, J. M. (2017). </w:t>
      </w:r>
      <w:proofErr w:type="gramStart"/>
      <w:r w:rsidRPr="00B66475">
        <w:rPr>
          <w:i/>
          <w:iCs/>
          <w:color w:val="222222"/>
          <w:shd w:val="clear" w:color="auto" w:fill="FFFFFF"/>
        </w:rPr>
        <w:t>Obedience</w:t>
      </w:r>
      <w:r w:rsidRPr="00B66475">
        <w:rPr>
          <w:color w:val="222222"/>
          <w:shd w:val="clear" w:color="auto" w:fill="FFFFFF"/>
        </w:rPr>
        <w:t>.</w:t>
      </w:r>
      <w:proofErr w:type="gramEnd"/>
      <w:r w:rsidRPr="00B66475">
        <w:rPr>
          <w:color w:val="222222"/>
          <w:shd w:val="clear" w:color="auto" w:fill="FFFFFF"/>
        </w:rPr>
        <w:t xml:space="preserve"> </w:t>
      </w:r>
      <w:proofErr w:type="gramStart"/>
      <w:r w:rsidRPr="00B66475">
        <w:rPr>
          <w:color w:val="222222"/>
          <w:shd w:val="clear" w:color="auto" w:fill="FFFFFF"/>
        </w:rPr>
        <w:t>Oxford University Press.</w:t>
      </w:r>
      <w:proofErr w:type="gramEnd"/>
    </w:p>
    <w:p w:rsidR="00B66475" w:rsidRPr="00B66475" w:rsidRDefault="00B66475" w:rsidP="00B66475">
      <w:pPr>
        <w:spacing w:line="480" w:lineRule="auto"/>
        <w:ind w:left="720" w:hanging="720"/>
        <w:rPr>
          <w:color w:val="222222"/>
          <w:shd w:val="clear" w:color="auto" w:fill="FFFFFF"/>
        </w:rPr>
      </w:pPr>
      <w:proofErr w:type="spellStart"/>
      <w:r w:rsidRPr="00B66475">
        <w:rPr>
          <w:color w:val="222222"/>
          <w:shd w:val="clear" w:color="auto" w:fill="FFFFFF"/>
        </w:rPr>
        <w:t>Cialdini</w:t>
      </w:r>
      <w:proofErr w:type="spellEnd"/>
      <w:r w:rsidR="00014CBC">
        <w:rPr>
          <w:color w:val="222222"/>
          <w:shd w:val="clear" w:color="auto" w:fill="FFFFFF"/>
        </w:rPr>
        <w:t>, R. B.,</w:t>
      </w:r>
      <w:r w:rsidRPr="00B66475">
        <w:rPr>
          <w:color w:val="222222"/>
          <w:shd w:val="clear" w:color="auto" w:fill="FFFFFF"/>
        </w:rPr>
        <w:t xml:space="preserve"> (2007). </w:t>
      </w:r>
      <w:r w:rsidRPr="00B66475">
        <w:rPr>
          <w:i/>
          <w:iCs/>
          <w:color w:val="222222"/>
          <w:shd w:val="clear" w:color="auto" w:fill="FFFFFF"/>
        </w:rPr>
        <w:t>Influence: The psychology of persuasion</w:t>
      </w:r>
      <w:r w:rsidRPr="00B66475">
        <w:rPr>
          <w:color w:val="222222"/>
          <w:shd w:val="clear" w:color="auto" w:fill="FFFFFF"/>
        </w:rPr>
        <w:t> (Vol. 55, p. 339). New York: Collins.</w:t>
      </w:r>
    </w:p>
    <w:p w:rsidR="00B66475" w:rsidRPr="00B66475" w:rsidRDefault="00B66475" w:rsidP="00B66475">
      <w:pPr>
        <w:spacing w:line="480" w:lineRule="auto"/>
        <w:ind w:left="720" w:hanging="720"/>
        <w:rPr>
          <w:color w:val="222222"/>
          <w:shd w:val="clear" w:color="auto" w:fill="FFFFFF"/>
        </w:rPr>
      </w:pPr>
      <w:r w:rsidRPr="00B66475">
        <w:rPr>
          <w:color w:val="222222"/>
          <w:shd w:val="clear" w:color="auto" w:fill="FFFFFF"/>
        </w:rPr>
        <w:t>Laursen, B. (2017). Making and keeping friends: The importance of being similar. </w:t>
      </w:r>
      <w:r w:rsidRPr="00B66475">
        <w:rPr>
          <w:i/>
          <w:iCs/>
          <w:color w:val="222222"/>
          <w:shd w:val="clear" w:color="auto" w:fill="FFFFFF"/>
        </w:rPr>
        <w:t>Child Development Perspectives</w:t>
      </w:r>
      <w:r w:rsidRPr="00B66475">
        <w:rPr>
          <w:color w:val="222222"/>
          <w:shd w:val="clear" w:color="auto" w:fill="FFFFFF"/>
        </w:rPr>
        <w:t>, </w:t>
      </w:r>
      <w:r w:rsidRPr="00B66475">
        <w:rPr>
          <w:i/>
          <w:iCs/>
          <w:color w:val="222222"/>
          <w:shd w:val="clear" w:color="auto" w:fill="FFFFFF"/>
        </w:rPr>
        <w:t>11</w:t>
      </w:r>
      <w:r w:rsidRPr="00B66475">
        <w:rPr>
          <w:color w:val="222222"/>
          <w:shd w:val="clear" w:color="auto" w:fill="FFFFFF"/>
        </w:rPr>
        <w:t>(4), 282-289.</w:t>
      </w:r>
    </w:p>
    <w:p w:rsidR="00B66475" w:rsidRPr="00B66475" w:rsidRDefault="00B66475" w:rsidP="00B66475">
      <w:pPr>
        <w:spacing w:line="480" w:lineRule="auto"/>
        <w:ind w:left="720" w:hanging="720"/>
        <w:rPr>
          <w:color w:val="222222"/>
          <w:shd w:val="clear" w:color="auto" w:fill="FFFFFF"/>
        </w:rPr>
      </w:pPr>
      <w:r w:rsidRPr="00B66475">
        <w:rPr>
          <w:color w:val="222222"/>
          <w:shd w:val="clear" w:color="auto" w:fill="FFFFFF"/>
        </w:rPr>
        <w:t xml:space="preserve">Nicholson, I. (2019). A tale of two methods: </w:t>
      </w:r>
      <w:proofErr w:type="spellStart"/>
      <w:r w:rsidRPr="00B66475">
        <w:rPr>
          <w:color w:val="222222"/>
          <w:shd w:val="clear" w:color="auto" w:fill="FFFFFF"/>
        </w:rPr>
        <w:t>Gustave</w:t>
      </w:r>
      <w:proofErr w:type="spellEnd"/>
      <w:r w:rsidRPr="00B66475">
        <w:rPr>
          <w:color w:val="222222"/>
          <w:shd w:val="clear" w:color="auto" w:fill="FFFFFF"/>
        </w:rPr>
        <w:t xml:space="preserve"> Gilbert, Stanley Milgram, and the “Mysterious Nazi Mind</w:t>
      </w:r>
      <w:proofErr w:type="gramStart"/>
      <w:r w:rsidRPr="00B66475">
        <w:rPr>
          <w:color w:val="222222"/>
          <w:shd w:val="clear" w:color="auto" w:fill="FFFFFF"/>
        </w:rPr>
        <w:t>”(</w:t>
      </w:r>
      <w:proofErr w:type="gramEnd"/>
      <w:r w:rsidRPr="00B66475">
        <w:rPr>
          <w:color w:val="222222"/>
          <w:shd w:val="clear" w:color="auto" w:fill="FFFFFF"/>
        </w:rPr>
        <w:t>1945–1965). </w:t>
      </w:r>
      <w:proofErr w:type="gramStart"/>
      <w:r w:rsidRPr="00B66475">
        <w:rPr>
          <w:i/>
          <w:iCs/>
          <w:color w:val="222222"/>
          <w:shd w:val="clear" w:color="auto" w:fill="FFFFFF"/>
        </w:rPr>
        <w:t>Qualitative Psychology</w:t>
      </w:r>
      <w:r w:rsidRPr="00B66475">
        <w:rPr>
          <w:color w:val="222222"/>
          <w:shd w:val="clear" w:color="auto" w:fill="FFFFFF"/>
        </w:rPr>
        <w:t>, </w:t>
      </w:r>
      <w:r w:rsidRPr="00B66475">
        <w:rPr>
          <w:i/>
          <w:iCs/>
          <w:color w:val="222222"/>
          <w:shd w:val="clear" w:color="auto" w:fill="FFFFFF"/>
        </w:rPr>
        <w:t>6</w:t>
      </w:r>
      <w:r w:rsidRPr="00B66475">
        <w:rPr>
          <w:color w:val="222222"/>
          <w:shd w:val="clear" w:color="auto" w:fill="FFFFFF"/>
        </w:rPr>
        <w:t>(1), 99.</w:t>
      </w:r>
      <w:proofErr w:type="gramEnd"/>
    </w:p>
    <w:sectPr w:rsidR="00B66475" w:rsidRPr="00B66475" w:rsidSect="00B00B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618" w:rsidRDefault="00C66618" w:rsidP="00B00BEA">
      <w:pPr>
        <w:spacing w:after="0" w:line="240" w:lineRule="auto"/>
      </w:pPr>
      <w:r>
        <w:separator/>
      </w:r>
    </w:p>
  </w:endnote>
  <w:endnote w:type="continuationSeparator" w:id="0">
    <w:p w:rsidR="00C66618" w:rsidRDefault="00C66618" w:rsidP="00B00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618" w:rsidRDefault="00C66618" w:rsidP="00B00BEA">
      <w:pPr>
        <w:spacing w:after="0" w:line="240" w:lineRule="auto"/>
      </w:pPr>
      <w:r>
        <w:separator/>
      </w:r>
    </w:p>
  </w:footnote>
  <w:footnote w:type="continuationSeparator" w:id="0">
    <w:p w:rsidR="00C66618" w:rsidRDefault="00C66618" w:rsidP="00B00B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107418"/>
      <w:docPartObj>
        <w:docPartGallery w:val="Page Numbers (Top of Page)"/>
        <w:docPartUnique/>
      </w:docPartObj>
    </w:sdtPr>
    <w:sdtEndPr>
      <w:rPr>
        <w:noProof/>
      </w:rPr>
    </w:sdtEndPr>
    <w:sdtContent>
      <w:p w:rsidR="00B00BEA" w:rsidRDefault="00B00BEA">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B00BEA" w:rsidRDefault="00B00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52C"/>
    <w:rsid w:val="00014CBC"/>
    <w:rsid w:val="00024CD3"/>
    <w:rsid w:val="00051F0A"/>
    <w:rsid w:val="000D5930"/>
    <w:rsid w:val="00266A94"/>
    <w:rsid w:val="002D755B"/>
    <w:rsid w:val="00320FF6"/>
    <w:rsid w:val="003211DD"/>
    <w:rsid w:val="007A12FA"/>
    <w:rsid w:val="00871CB3"/>
    <w:rsid w:val="009A36B6"/>
    <w:rsid w:val="00A15FA6"/>
    <w:rsid w:val="00AC21CE"/>
    <w:rsid w:val="00AD3083"/>
    <w:rsid w:val="00B00BEA"/>
    <w:rsid w:val="00B66475"/>
    <w:rsid w:val="00BC452C"/>
    <w:rsid w:val="00C30C36"/>
    <w:rsid w:val="00C66618"/>
    <w:rsid w:val="00DC1563"/>
    <w:rsid w:val="00E733F1"/>
    <w:rsid w:val="00E85A44"/>
    <w:rsid w:val="00F43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BEA"/>
  </w:style>
  <w:style w:type="paragraph" w:styleId="Footer">
    <w:name w:val="footer"/>
    <w:basedOn w:val="Normal"/>
    <w:link w:val="FooterChar"/>
    <w:uiPriority w:val="99"/>
    <w:unhideWhenUsed/>
    <w:rsid w:val="00B00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B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BEA"/>
  </w:style>
  <w:style w:type="paragraph" w:styleId="Footer">
    <w:name w:val="footer"/>
    <w:basedOn w:val="Normal"/>
    <w:link w:val="FooterChar"/>
    <w:uiPriority w:val="99"/>
    <w:unhideWhenUsed/>
    <w:rsid w:val="00B00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7</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12</cp:revision>
  <dcterms:created xsi:type="dcterms:W3CDTF">2020-12-20T03:11:00Z</dcterms:created>
  <dcterms:modified xsi:type="dcterms:W3CDTF">2020-12-20T06:46:00Z</dcterms:modified>
</cp:coreProperties>
</file>